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3" w:rsidRPr="005C1867" w:rsidRDefault="001F4683" w:rsidP="005C1867">
      <w:pPr>
        <w:pStyle w:val="KeinLeerraum"/>
        <w:jc w:val="both"/>
        <w:rPr>
          <w:rFonts w:ascii="Verdana" w:hAnsi="Verdana"/>
          <w:b/>
          <w:sz w:val="32"/>
          <w:szCs w:val="32"/>
        </w:rPr>
      </w:pPr>
      <w:r w:rsidRPr="005C1867">
        <w:rPr>
          <w:rFonts w:ascii="Verdana" w:hAnsi="Verdana"/>
          <w:b/>
          <w:sz w:val="32"/>
          <w:szCs w:val="32"/>
        </w:rPr>
        <w:t>Erinnerungen</w:t>
      </w:r>
    </w:p>
    <w:p w:rsidR="001F4683" w:rsidRPr="005C1867" w:rsidRDefault="001F4683" w:rsidP="005C1867">
      <w:pPr>
        <w:pStyle w:val="KeinLeerraum"/>
        <w:jc w:val="both"/>
        <w:rPr>
          <w:rFonts w:ascii="Verdana" w:hAnsi="Verdana"/>
          <w:i/>
          <w:sz w:val="32"/>
          <w:szCs w:val="32"/>
        </w:rPr>
      </w:pPr>
      <w:r w:rsidRPr="005C1867">
        <w:rPr>
          <w:rFonts w:ascii="Verdana" w:hAnsi="Verdana"/>
          <w:i/>
          <w:sz w:val="32"/>
          <w:szCs w:val="32"/>
        </w:rPr>
        <w:t xml:space="preserve">von Domprobst </w:t>
      </w:r>
      <w:proofErr w:type="spellStart"/>
      <w:r w:rsidRPr="005C1867">
        <w:rPr>
          <w:rFonts w:ascii="Verdana" w:hAnsi="Verdana"/>
          <w:i/>
          <w:sz w:val="32"/>
          <w:szCs w:val="32"/>
        </w:rPr>
        <w:t>em</w:t>
      </w:r>
      <w:proofErr w:type="spellEnd"/>
      <w:r w:rsidRPr="005C1867">
        <w:rPr>
          <w:rFonts w:ascii="Verdana" w:hAnsi="Verdana"/>
          <w:i/>
          <w:sz w:val="32"/>
          <w:szCs w:val="32"/>
        </w:rPr>
        <w:t>. Uwe Steffen</w:t>
      </w:r>
    </w:p>
    <w:p w:rsidR="005C1867" w:rsidRDefault="005C1867" w:rsidP="005C1867">
      <w:pPr>
        <w:pStyle w:val="KeinLeerraum"/>
        <w:jc w:val="both"/>
        <w:rPr>
          <w:rFonts w:ascii="Verdana" w:hAnsi="Verdana"/>
          <w:sz w:val="32"/>
          <w:szCs w:val="32"/>
        </w:rPr>
      </w:pP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Am 1. November 1955 trat ich meinen Dienst als Pastor der Kirchengemeinde Lütjensee im nordöstlichen Randbezirk Hamburgs an. Nach Ablauf meiner einjährigen Zeit als Hilfsgeistlicher - so nannte man damals den Pastor in seinem ersten Dienstjahr - wählte mich die Gemeinde unter Verzicht auf eine öffentliche Ausschreibung zu ihrem Pastor. Ich sei zwar noch ein wenig jung, meinten einige Gemeindeglieder (ich war gerade 28 Jahre alt), aber mein Propst, Hansen Petersen, versicherte ihnen, dass das jeden Tag besser würde. Da die Gemeinde erst drei Jahre zuvor aus der Kirchengemeinde </w:t>
      </w:r>
      <w:proofErr w:type="spellStart"/>
      <w:r w:rsidRPr="005C1867">
        <w:rPr>
          <w:rFonts w:ascii="Verdana" w:hAnsi="Verdana"/>
          <w:sz w:val="32"/>
          <w:szCs w:val="32"/>
        </w:rPr>
        <w:t>Trittau</w:t>
      </w:r>
      <w:proofErr w:type="spellEnd"/>
      <w:r w:rsidRPr="005C1867">
        <w:rPr>
          <w:rFonts w:ascii="Verdana" w:hAnsi="Verdana"/>
          <w:sz w:val="32"/>
          <w:szCs w:val="32"/>
        </w:rPr>
        <w:t xml:space="preserve"> ausgegliedert worden war, fiel mir die Aufgabe zu, für die Durchführung der Bauarbeiten der bereits in Planung befindlichen Kirche und für die Anlage eines gemeindeeigenen Friedhofs zu sorgen. Bis dahin versammelte sich die Gemeinde zum Gottesdienst im Gemeindesaal, der ans Pastorat angebaut war, und begrub ihre Toten auf dem Friedhof der Muttergemeinde </w:t>
      </w:r>
      <w:proofErr w:type="spellStart"/>
      <w:r w:rsidRPr="005C1867">
        <w:rPr>
          <w:rFonts w:ascii="Verdana" w:hAnsi="Verdana"/>
          <w:sz w:val="32"/>
          <w:szCs w:val="32"/>
        </w:rPr>
        <w:t>Trittau</w:t>
      </w:r>
      <w:proofErr w:type="spellEnd"/>
      <w:r w:rsidRPr="005C1867">
        <w:rPr>
          <w:rFonts w:ascii="Verdana" w:hAnsi="Verdana"/>
          <w:sz w:val="32"/>
          <w:szCs w:val="32"/>
        </w:rPr>
        <w:t>. Die Kirche wurde am 3. Dezember 1961, der Friedhof am 1. April 1962 geweiht.</w:t>
      </w:r>
    </w:p>
    <w:p w:rsidR="001F4683" w:rsidRPr="005C1867" w:rsidRDefault="001F4683" w:rsidP="005C1867">
      <w:pPr>
        <w:pStyle w:val="KeinLeerraum"/>
        <w:jc w:val="both"/>
        <w:rPr>
          <w:rFonts w:ascii="Verdana" w:hAnsi="Verdana"/>
          <w:sz w:val="32"/>
          <w:szCs w:val="32"/>
        </w:rPr>
      </w:pP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Da ich mich mit dem Architekten Herbert M. Hübner, Lütjensee, gut verstand (wir waren freundschaftlich miteinander verbunden und trafen uns fast täglich auf der Baustelle) und vom Kirchenvorstand freie Hand erhielt, konnte ich eigene Vorstellungen für die Innenausstattung des Kirchraumes einbringen. Als Thema für den Taufstein gab ich dem Steinmetz Heinrich Huschen aus </w:t>
      </w:r>
      <w:proofErr w:type="spellStart"/>
      <w:r w:rsidRPr="005C1867">
        <w:rPr>
          <w:rFonts w:ascii="Verdana" w:hAnsi="Verdana"/>
          <w:sz w:val="32"/>
          <w:szCs w:val="32"/>
        </w:rPr>
        <w:t>Meschede</w:t>
      </w:r>
      <w:proofErr w:type="spellEnd"/>
      <w:r w:rsidRPr="005C1867">
        <w:rPr>
          <w:rFonts w:ascii="Verdana" w:hAnsi="Verdana"/>
          <w:sz w:val="32"/>
          <w:szCs w:val="32"/>
        </w:rPr>
        <w:t>/</w:t>
      </w:r>
      <w:proofErr w:type="spellStart"/>
      <w:r w:rsidRPr="005C1867">
        <w:rPr>
          <w:rFonts w:ascii="Verdana" w:hAnsi="Verdana"/>
          <w:sz w:val="32"/>
          <w:szCs w:val="32"/>
        </w:rPr>
        <w:t>Westf</w:t>
      </w:r>
      <w:proofErr w:type="spellEnd"/>
      <w:r w:rsidRPr="005C1867">
        <w:rPr>
          <w:rFonts w:ascii="Verdana" w:hAnsi="Verdana"/>
          <w:sz w:val="32"/>
          <w:szCs w:val="32"/>
        </w:rPr>
        <w:t xml:space="preserve">. drei Szenen der Jona-Geschichte vor: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seine Verschlingung durch den großen Fisch, sein Aufenthalt im Bauch des Fisches, seine </w:t>
      </w:r>
      <w:proofErr w:type="spellStart"/>
      <w:r w:rsidRPr="005C1867">
        <w:rPr>
          <w:rFonts w:ascii="Verdana" w:hAnsi="Verdana"/>
          <w:sz w:val="32"/>
          <w:szCs w:val="32"/>
        </w:rPr>
        <w:t>Ausspeiung</w:t>
      </w:r>
      <w:proofErr w:type="spellEnd"/>
      <w:r w:rsidRPr="005C1867">
        <w:rPr>
          <w:rFonts w:ascii="Verdana" w:hAnsi="Verdana"/>
          <w:sz w:val="32"/>
          <w:szCs w:val="32"/>
        </w:rPr>
        <w:t xml:space="preserve"> durch den großen Fisch. Denn diese drei Szenen stehen seit </w:t>
      </w:r>
      <w:r w:rsidRPr="005C1867">
        <w:rPr>
          <w:rFonts w:ascii="Verdana" w:hAnsi="Verdana"/>
          <w:sz w:val="32"/>
          <w:szCs w:val="32"/>
        </w:rPr>
        <w:lastRenderedPageBreak/>
        <w:t xml:space="preserve">frühchristlicher Zeit symbolhaft für die drei Stadien des Mysterienweges: Tod - Wiedergeburt - Neues Leben.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Der Künstler hat diese Szenen zu einprägsamen Zeichen verdichtet: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Der ins Meer Geworfene hat die Form einer Todesrune, der aus dem Rachen des Fisches Hervorkommende die Form einer Lebensrune.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Besonders eindrucksvoll ist das Symbol für Jona im Bauch des Fisches. In einem Kreis, der für den Walfischbauch steht, sieht man ein Gesicht über betend zusammengelegten Händen. Ein Stern durchbricht den geschlossenen Kreis und symbolisiert das Licht, das in der Finsternis leuchtet.</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Auf dem oberen und unteren Rand des Taufsteins sollten als Umschrift Worte aus dem Gebet Jonas aus dem Bauch des Fisches stehen, unten: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„Du warfst mich in die Tiefe" - dabei dachte ich an die sprachliche Verwandtschaft von „Tiefe" und „Taufe", auf die schon Luther hinwies; oben: „Du hast mein Leben aus dem Verderben geführt, Herr, mein Gott". Beide Worte zusammen beschreiben den Vorgang des Sterbens und Wiedergeborenwerdens, der in der Taufe ursprünglich am erwachsenen Täufling sinnbildlich vollzogen wurde, indem er vollständig ins Wasser hineingetaucht (taufen = tauchen) und „aus der Taufe gehoben" wurde. Ein „Bad der Wiedergeburt" wird die Taufe darum auch genannt (Titus 3,5).Luther hat das in seinem Kleinen Katechismus anschaulich gedeutet: „Es bedeutet, dass der alte Adam in uns (d.i. der Gott ungehorsame Mensch) durch tägliche Reue und Buße soll ersäuft werden und sterben mit allen Sünden und bösen Lüsten; und wiederum täglich herauskommen und auferstehen ein neuer Mensch, der in Gerechtigkeit und Reinheit vor Gott ewiglich lebe.“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Diese Worte machen deutlich, dass das, was in der Taufe an uns vollzogen wird, von uns täglich nachvollzogen werden soll: Täglich soll der Mensch der Sünde in uns </w:t>
      </w:r>
      <w:r w:rsidRPr="005C1867">
        <w:rPr>
          <w:rFonts w:ascii="Verdana" w:hAnsi="Verdana"/>
          <w:sz w:val="32"/>
          <w:szCs w:val="32"/>
        </w:rPr>
        <w:lastRenderedPageBreak/>
        <w:t xml:space="preserve">niedergehalten werden, damit der Mensch des Glaubens wachsen und sich entfalten kann. Das „Sterben“ und „Auferstehen“, das in der Taufe vollzogen wird, ist ein Mitsterben und Mitauferstehen mit Christus.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„Wisst ihr nicht“, schreibt der Apostel Pau-lus, „dass alle, die wir auf Christus Jesus getauft sind, die sind in seinen Tod getauft? So sind wir ja mit ihm begraben durch die Taufe in den Tod, damit, wie Christus auferweckt ist von den Toten durch die Herrlichkeit des Vaters, auch wir in einem neuen Leben wandeln. Sind wir nun mit Christus gestorben, so glauben wir, dass wir auch mit ihm leben werden.“ (Röm. 6, 3. 4. 8)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Die Brüstung der Orgelempore der </w:t>
      </w:r>
      <w:proofErr w:type="spellStart"/>
      <w:r w:rsidRPr="005C1867">
        <w:rPr>
          <w:rFonts w:ascii="Verdana" w:hAnsi="Verdana"/>
          <w:sz w:val="32"/>
          <w:szCs w:val="32"/>
        </w:rPr>
        <w:t>Lütjenseer</w:t>
      </w:r>
      <w:proofErr w:type="spellEnd"/>
      <w:r w:rsidRPr="005C1867">
        <w:rPr>
          <w:rFonts w:ascii="Verdana" w:hAnsi="Verdana"/>
          <w:sz w:val="32"/>
          <w:szCs w:val="32"/>
        </w:rPr>
        <w:t xml:space="preserve"> Kirche war mit fünfzehn quadratischen massiven Eichenholztafeln (90 x 90 cm) abgeschlossen. Sie schrien geradezu nach einer künstlerischen Gestaltung. 1963 erhielt der Hamburger Bildhauer Rolf </w:t>
      </w:r>
      <w:proofErr w:type="spellStart"/>
      <w:r w:rsidRPr="005C1867">
        <w:rPr>
          <w:rFonts w:ascii="Verdana" w:hAnsi="Verdana"/>
          <w:sz w:val="32"/>
          <w:szCs w:val="32"/>
        </w:rPr>
        <w:t>Goerler</w:t>
      </w:r>
      <w:proofErr w:type="spellEnd"/>
      <w:r w:rsidRPr="005C1867">
        <w:rPr>
          <w:rFonts w:ascii="Verdana" w:hAnsi="Verdana"/>
          <w:sz w:val="32"/>
          <w:szCs w:val="32"/>
        </w:rPr>
        <w:t xml:space="preserve"> den Auftrag, die Emporentafeln künstlerisch zu gestalten. Das Thema hatte ich vorgegeben: „Die Errettung aus dem Tod“ nach den Beispielen des altchristlichen Sterbegebetes, mit dem die ersten Christen (und die katholischen Christen zuweilen noch heute) die Seele eines Sterbenden Gott befahlen: „Errette, o Herr, die Seele deines Dieners/deiner Dienerin, wie du errettet hast ...“ und dann werden in einer feierlichen Litanei biblische Beispiele von Gebetserhörungen und wunderbaren Errettungen aus dem Tod aufgezählt.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Für die fünfzehn Emporentafeln boten sich an: sieben Beispiele aus dem Alten Testament, in der Mitte ein Beispiel aus den Apokryphen und sieben Szenen aus dem Neuen Testament. Mein Gedanke dabei war folgender: Die Kirche diente und dient noch heute auch als Friedhofskapelle, in der die Trauerfeiern vor der Beerdigung stattfinden. Die Särge stehen dabei vor dem Altar und werden von dort unter der Orgelempore hindurch zum Friedhof getragen. Die Bilder auf den </w:t>
      </w:r>
      <w:r w:rsidR="005C1867">
        <w:rPr>
          <w:rFonts w:ascii="Verdana" w:hAnsi="Verdana"/>
          <w:sz w:val="32"/>
          <w:szCs w:val="32"/>
        </w:rPr>
        <w:lastRenderedPageBreak/>
        <w:t>Emporenta</w:t>
      </w:r>
      <w:bookmarkStart w:id="0" w:name="_GoBack"/>
      <w:bookmarkEnd w:id="0"/>
      <w:r w:rsidRPr="005C1867">
        <w:rPr>
          <w:rFonts w:ascii="Verdana" w:hAnsi="Verdana"/>
          <w:sz w:val="32"/>
          <w:szCs w:val="32"/>
        </w:rPr>
        <w:t xml:space="preserve">feln sind die bildgewordenen Bitten des alten Sterbegebetes, die um die Errettung der Verstorbenen aus dem Tod bitten: „Der du Noah aus der Sintflut errettet hast, er- rette auch ihn/sie ...“ Auf einer Segelreise als Einhandsegler meditierte der Künstler die Geschichten und schnitt sie, nachdem sie sich ihm zu einprägsamen Bildzeichen verdichtet hatten, innerhalb von zehn Tagen in die vorbereiteten Holzplatten. Nach seinen eigenen Worten „eine große Arbeit aus einem Guss“. </w:t>
      </w:r>
    </w:p>
    <w:p w:rsidR="001F4683"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Die Holzschnitte stellten die Vorarbeit für die Emporentafeln dar. In den folgenden drei Jahren setzte er sie um in kupfergetriebene Figuren und ausgeschweißte Eisenteile. Um die einzelnen Darstellungen zu finanzieren, riefen wir zu Spenden von jeweils einer Emporentafel nach eigener Wahl auf. Die Spender erhielten den entsprechenden Holzschnitt als „Quittung". Ich selbst spendete Die drei Männer im Feuerofen, denn damals beschäftigte ich mich gerade mit diesem Thema. </w:t>
      </w:r>
    </w:p>
    <w:p w:rsidR="00F85706" w:rsidRPr="005C1867" w:rsidRDefault="001F4683" w:rsidP="005C1867">
      <w:pPr>
        <w:pStyle w:val="KeinLeerraum"/>
        <w:jc w:val="both"/>
        <w:rPr>
          <w:rFonts w:ascii="Verdana" w:hAnsi="Verdana"/>
          <w:sz w:val="32"/>
          <w:szCs w:val="32"/>
        </w:rPr>
      </w:pPr>
      <w:r w:rsidRPr="005C1867">
        <w:rPr>
          <w:rFonts w:ascii="Verdana" w:hAnsi="Verdana"/>
          <w:sz w:val="32"/>
          <w:szCs w:val="32"/>
        </w:rPr>
        <w:t xml:space="preserve">Als ich 1966 die Gemeinde, meine „erste Liebe", schweren Herzens verließ (ich war vom Bischof zum Propst von Norderdithmarschen berufen worden), fehlten nur noch zwei Emporentafeln. Doch auch sie wurden noch im Jahr meines Weggangs gespendet, so dass das Gesamtwerk 1966 vollendet war. </w:t>
      </w:r>
    </w:p>
    <w:sectPr w:rsidR="00F85706" w:rsidRPr="005C1867"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83"/>
    <w:rsid w:val="00082BC1"/>
    <w:rsid w:val="001F4683"/>
    <w:rsid w:val="002731A8"/>
    <w:rsid w:val="002F044B"/>
    <w:rsid w:val="005C1867"/>
    <w:rsid w:val="009B3F2B"/>
    <w:rsid w:val="00A85600"/>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2</cp:revision>
  <dcterms:created xsi:type="dcterms:W3CDTF">2015-04-15T16:56:00Z</dcterms:created>
  <dcterms:modified xsi:type="dcterms:W3CDTF">2015-04-17T10:12:00Z</dcterms:modified>
</cp:coreProperties>
</file>